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61" w:rsidRDefault="00A77561">
      <w:pPr>
        <w:rPr>
          <w:sz w:val="18"/>
        </w:rPr>
      </w:pPr>
    </w:p>
    <w:p w:rsidR="00A77561" w:rsidRDefault="00A77561">
      <w:pPr>
        <w:rPr>
          <w:sz w:val="18"/>
        </w:rPr>
      </w:pPr>
    </w:p>
    <w:p w:rsidR="00A77561" w:rsidRDefault="00A77561">
      <w:pPr>
        <w:rPr>
          <w:sz w:val="18"/>
        </w:rPr>
      </w:pPr>
    </w:p>
    <w:p w:rsidR="00A77561" w:rsidRDefault="00A77561">
      <w:pPr>
        <w:rPr>
          <w:sz w:val="18"/>
        </w:rPr>
      </w:pPr>
    </w:p>
    <w:p w:rsidR="00A77561" w:rsidRDefault="00A77561">
      <w:pPr>
        <w:rPr>
          <w:sz w:val="18"/>
        </w:rPr>
      </w:pPr>
    </w:p>
    <w:p w:rsidR="00A77561" w:rsidRPr="007978C6" w:rsidRDefault="00A77561">
      <w:pPr>
        <w:rPr>
          <w:sz w:val="16"/>
          <w:szCs w:val="16"/>
        </w:rPr>
      </w:pPr>
    </w:p>
    <w:p w:rsidR="0066434C" w:rsidRDefault="0066434C">
      <w:pPr>
        <w:rPr>
          <w:color w:val="244061" w:themeColor="accent1" w:themeShade="80"/>
          <w:spacing w:val="10"/>
          <w:sz w:val="15"/>
          <w:szCs w:val="15"/>
        </w:rPr>
      </w:pPr>
    </w:p>
    <w:p w:rsidR="005A42BA" w:rsidRDefault="005A42BA">
      <w:pPr>
        <w:rPr>
          <w:color w:val="244061" w:themeColor="accent1" w:themeShade="80"/>
          <w:spacing w:val="10"/>
          <w:sz w:val="15"/>
          <w:szCs w:val="15"/>
        </w:rPr>
        <w:sectPr w:rsidR="005A42BA" w:rsidSect="006625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134" w:left="1361" w:header="709" w:footer="170" w:gutter="0"/>
          <w:cols w:space="708"/>
          <w:titlePg/>
          <w:docGrid w:linePitch="360"/>
        </w:sectPr>
      </w:pPr>
    </w:p>
    <w:p w:rsidR="00A77561" w:rsidRPr="0066434C" w:rsidRDefault="00A77561">
      <w:pPr>
        <w:rPr>
          <w:spacing w:val="10"/>
          <w:sz w:val="2"/>
          <w:szCs w:val="2"/>
        </w:rPr>
      </w:pPr>
    </w:p>
    <w:tbl>
      <w:tblPr>
        <w:tblStyle w:val="Tabellenraster1"/>
        <w:tblW w:w="54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3247"/>
      </w:tblGrid>
      <w:tr w:rsidR="005A42BA" w:rsidRPr="00A77561" w:rsidTr="00A11A47">
        <w:trPr>
          <w:trHeight w:val="2184"/>
        </w:trPr>
        <w:tc>
          <w:tcPr>
            <w:tcW w:w="3412" w:type="pct"/>
          </w:tcPr>
          <w:p w:rsidR="005A42BA" w:rsidRPr="002C44AC" w:rsidRDefault="005A42BA" w:rsidP="00546DC3">
            <w:pPr>
              <w:tabs>
                <w:tab w:val="left" w:pos="7371"/>
              </w:tabs>
              <w:rPr>
                <w:spacing w:val="12"/>
              </w:rPr>
            </w:pPr>
          </w:p>
        </w:tc>
        <w:tc>
          <w:tcPr>
            <w:tcW w:w="1588" w:type="pct"/>
            <w:tcMar>
              <w:top w:w="28" w:type="dxa"/>
            </w:tcMar>
          </w:tcPr>
          <w:p w:rsidR="005A42BA" w:rsidRPr="00D7098F" w:rsidRDefault="005A42BA" w:rsidP="005A42BA">
            <w:pPr>
              <w:rPr>
                <w:spacing w:val="6"/>
                <w:w w:val="87"/>
              </w:rPr>
            </w:pPr>
            <w:r w:rsidRPr="005A42BA">
              <w:rPr>
                <w:noProof/>
                <w:color w:val="244061" w:themeColor="accent1" w:themeShade="80"/>
                <w:spacing w:val="6"/>
                <w:sz w:val="22"/>
                <w:szCs w:val="22"/>
              </w:rPr>
              <w:t>Pressestelle</w:t>
            </w:r>
          </w:p>
        </w:tc>
      </w:tr>
    </w:tbl>
    <w:p w:rsidR="00DD5A83" w:rsidRDefault="00DD5A83" w:rsidP="00E374E9">
      <w:pPr>
        <w:ind w:right="3681"/>
        <w:rPr>
          <w:sz w:val="18"/>
        </w:rPr>
        <w:sectPr w:rsidR="00DD5A83" w:rsidSect="0066434C">
          <w:type w:val="continuous"/>
          <w:pgSz w:w="11906" w:h="16838" w:code="9"/>
          <w:pgMar w:top="1418" w:right="1134" w:bottom="1134" w:left="1361" w:header="709" w:footer="0" w:gutter="0"/>
          <w:cols w:space="708"/>
          <w:titlePg/>
          <w:docGrid w:linePitch="360"/>
        </w:sectPr>
      </w:pPr>
    </w:p>
    <w:p w:rsidR="00A77561" w:rsidRPr="001E22DD" w:rsidRDefault="005A42BA" w:rsidP="00163F45">
      <w:pPr>
        <w:ind w:right="3969"/>
        <w:rPr>
          <w:b/>
          <w:color w:val="244061" w:themeColor="accent1" w:themeShade="80"/>
          <w:spacing w:val="6"/>
          <w:sz w:val="22"/>
          <w:szCs w:val="22"/>
        </w:rPr>
      </w:pPr>
      <w:r w:rsidRPr="001E22DD">
        <w:rPr>
          <w:b/>
          <w:color w:val="244061" w:themeColor="accent1" w:themeShade="80"/>
          <w:spacing w:val="6"/>
          <w:sz w:val="22"/>
          <w:szCs w:val="22"/>
        </w:rPr>
        <w:t>PRESSE</w:t>
      </w:r>
      <w:r w:rsidRPr="001E22DD">
        <w:rPr>
          <w:color w:val="244061" w:themeColor="accent1" w:themeShade="80"/>
          <w:spacing w:val="6"/>
          <w:sz w:val="22"/>
          <w:szCs w:val="22"/>
        </w:rPr>
        <w:t>MITTEILUNG</w:t>
      </w:r>
    </w:p>
    <w:p w:rsidR="00E374E9" w:rsidRPr="001E22DD" w:rsidRDefault="00E374E9">
      <w:pPr>
        <w:rPr>
          <w:spacing w:val="6"/>
          <w:sz w:val="22"/>
          <w:szCs w:val="22"/>
        </w:rPr>
      </w:pPr>
    </w:p>
    <w:p w:rsidR="00A74402" w:rsidRPr="001E22DD" w:rsidRDefault="00641EC9" w:rsidP="000E701A">
      <w:pPr>
        <w:rPr>
          <w:spacing w:val="6"/>
          <w:sz w:val="22"/>
          <w:szCs w:val="22"/>
        </w:rPr>
      </w:pPr>
      <w:r w:rsidRPr="001E22DD">
        <w:rPr>
          <w:spacing w:val="6"/>
          <w:sz w:val="22"/>
          <w:szCs w:val="22"/>
        </w:rPr>
        <w:t xml:space="preserve">Nr. </w:t>
      </w:r>
      <w:r w:rsidR="00EB3260">
        <w:rPr>
          <w:spacing w:val="6"/>
          <w:sz w:val="22"/>
          <w:szCs w:val="22"/>
        </w:rPr>
        <w:t>110</w:t>
      </w:r>
      <w:r w:rsidRPr="001E22DD">
        <w:rPr>
          <w:spacing w:val="6"/>
          <w:sz w:val="22"/>
          <w:szCs w:val="22"/>
        </w:rPr>
        <w:t xml:space="preserve"> vom </w:t>
      </w:r>
      <w:r w:rsidR="00EB3260">
        <w:rPr>
          <w:spacing w:val="6"/>
          <w:sz w:val="22"/>
          <w:szCs w:val="22"/>
        </w:rPr>
        <w:t>1. März 2020</w:t>
      </w:r>
    </w:p>
    <w:p w:rsidR="00641EC9" w:rsidRPr="001E22DD" w:rsidRDefault="00641EC9" w:rsidP="000E701A">
      <w:pPr>
        <w:rPr>
          <w:spacing w:val="6"/>
          <w:sz w:val="22"/>
          <w:szCs w:val="22"/>
        </w:rPr>
      </w:pPr>
    </w:p>
    <w:p w:rsidR="00056108" w:rsidRPr="00EB3260" w:rsidRDefault="00EB3260" w:rsidP="00A11A47">
      <w:pPr>
        <w:rPr>
          <w:b/>
          <w:spacing w:val="6"/>
          <w:sz w:val="22"/>
          <w:szCs w:val="22"/>
        </w:rPr>
      </w:pPr>
      <w:r w:rsidRPr="00EB3260">
        <w:rPr>
          <w:b/>
          <w:spacing w:val="6"/>
          <w:sz w:val="22"/>
          <w:szCs w:val="22"/>
        </w:rPr>
        <w:t>Erweiterte Empfehlungen für Rückkehrer aus dem Italienurlaub</w:t>
      </w:r>
    </w:p>
    <w:p w:rsidR="00056108" w:rsidRPr="00056108" w:rsidRDefault="00056108" w:rsidP="00056108">
      <w:pPr>
        <w:rPr>
          <w:sz w:val="22"/>
          <w:szCs w:val="22"/>
        </w:rPr>
      </w:pPr>
    </w:p>
    <w:p w:rsidR="00056108" w:rsidRDefault="00EB3260" w:rsidP="00056108">
      <w:pPr>
        <w:rPr>
          <w:sz w:val="22"/>
          <w:szCs w:val="22"/>
        </w:rPr>
      </w:pPr>
      <w:r>
        <w:rPr>
          <w:sz w:val="22"/>
          <w:szCs w:val="22"/>
        </w:rPr>
        <w:t xml:space="preserve">Aufgrund der rasanten Dynamik bei der Ausbreitung des </w:t>
      </w:r>
      <w:proofErr w:type="spellStart"/>
      <w:r>
        <w:rPr>
          <w:sz w:val="22"/>
          <w:szCs w:val="22"/>
        </w:rPr>
        <w:t>Coronavirus</w:t>
      </w:r>
      <w:proofErr w:type="spellEnd"/>
      <w:r>
        <w:rPr>
          <w:sz w:val="22"/>
          <w:szCs w:val="22"/>
        </w:rPr>
        <w:t xml:space="preserve"> hat sich der Führungskreis des Landratsamtes </w:t>
      </w:r>
      <w:proofErr w:type="spellStart"/>
      <w:r>
        <w:rPr>
          <w:sz w:val="22"/>
          <w:szCs w:val="22"/>
        </w:rPr>
        <w:t>Ostalbkreis</w:t>
      </w:r>
      <w:proofErr w:type="spellEnd"/>
      <w:r>
        <w:rPr>
          <w:sz w:val="22"/>
          <w:szCs w:val="22"/>
        </w:rPr>
        <w:t xml:space="preserve"> zu einer erweiterten Präventionsmaßnahme entschieden.</w:t>
      </w:r>
    </w:p>
    <w:p w:rsidR="00056108" w:rsidRPr="00056108" w:rsidRDefault="00056108" w:rsidP="00056108">
      <w:pPr>
        <w:rPr>
          <w:sz w:val="22"/>
          <w:szCs w:val="22"/>
        </w:rPr>
      </w:pPr>
    </w:p>
    <w:p w:rsidR="00EB3260" w:rsidRPr="00EB3260" w:rsidRDefault="00EB3260" w:rsidP="00EB3260">
      <w:pPr>
        <w:rPr>
          <w:sz w:val="22"/>
          <w:szCs w:val="22"/>
        </w:rPr>
      </w:pPr>
      <w:r w:rsidRPr="00EB3260">
        <w:rPr>
          <w:sz w:val="22"/>
          <w:szCs w:val="22"/>
        </w:rPr>
        <w:t xml:space="preserve">Folgende Personen, die seit dem 22. Februar 2020 aus den </w:t>
      </w:r>
      <w:bookmarkStart w:id="0" w:name="_GoBack"/>
      <w:r w:rsidRPr="00CD0C08">
        <w:rPr>
          <w:b/>
          <w:sz w:val="22"/>
          <w:szCs w:val="22"/>
          <w:u w:val="single"/>
        </w:rPr>
        <w:t>Skigebieten in Südtirol</w:t>
      </w:r>
      <w:r w:rsidRPr="00EB3260">
        <w:rPr>
          <w:sz w:val="22"/>
          <w:szCs w:val="22"/>
        </w:rPr>
        <w:t xml:space="preserve"> </w:t>
      </w:r>
      <w:bookmarkEnd w:id="0"/>
      <w:proofErr w:type="gramStart"/>
      <w:r w:rsidRPr="00EB3260">
        <w:rPr>
          <w:sz w:val="22"/>
          <w:szCs w:val="22"/>
        </w:rPr>
        <w:t>zurück-gekehrt</w:t>
      </w:r>
      <w:proofErr w:type="gramEnd"/>
      <w:r w:rsidRPr="00EB3260">
        <w:rPr>
          <w:sz w:val="22"/>
          <w:szCs w:val="22"/>
        </w:rPr>
        <w:t xml:space="preserve"> sind, sollten bis auf </w:t>
      </w:r>
      <w:r>
        <w:rPr>
          <w:sz w:val="22"/>
          <w:szCs w:val="22"/>
        </w:rPr>
        <w:t>W</w:t>
      </w:r>
      <w:r w:rsidRPr="00EB3260">
        <w:rPr>
          <w:sz w:val="22"/>
          <w:szCs w:val="22"/>
        </w:rPr>
        <w:t>eiteres von einem Besuch ihrer Einrichtung absehen:</w:t>
      </w:r>
    </w:p>
    <w:p w:rsidR="00EB3260" w:rsidRPr="00EB3260" w:rsidRDefault="00EB3260" w:rsidP="00EB3260">
      <w:pPr>
        <w:rPr>
          <w:sz w:val="22"/>
          <w:szCs w:val="22"/>
        </w:rPr>
      </w:pPr>
    </w:p>
    <w:p w:rsidR="00EB3260" w:rsidRPr="00EB3260" w:rsidRDefault="00EB3260" w:rsidP="00EB326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EB3260">
        <w:rPr>
          <w:sz w:val="22"/>
          <w:szCs w:val="22"/>
        </w:rPr>
        <w:t>Schülerinnen und Schüler, Kindergartenkinder und Betreute in Tageseinrichtungen</w:t>
      </w:r>
    </w:p>
    <w:p w:rsidR="00EB3260" w:rsidRPr="00EB3260" w:rsidRDefault="00EB3260" w:rsidP="00EB326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EB3260">
        <w:rPr>
          <w:sz w:val="22"/>
          <w:szCs w:val="22"/>
        </w:rPr>
        <w:t>Lehrkräfte und Betreuungspersonal in Schulen</w:t>
      </w:r>
    </w:p>
    <w:p w:rsidR="00EB3260" w:rsidRPr="00EB3260" w:rsidRDefault="00EB3260" w:rsidP="00EB326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EB3260">
        <w:rPr>
          <w:sz w:val="22"/>
          <w:szCs w:val="22"/>
        </w:rPr>
        <w:t>Erzieherinnen und Erzieher sowie Betreuungspersonal in Kindergärten und Kinder-tagesstätten</w:t>
      </w:r>
    </w:p>
    <w:p w:rsidR="00EB3260" w:rsidRPr="00EB3260" w:rsidRDefault="00EB3260" w:rsidP="00EB326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EB3260">
        <w:rPr>
          <w:sz w:val="22"/>
          <w:szCs w:val="22"/>
        </w:rPr>
        <w:t>Pflegepersonal in Krankenhäusern und Pflegeheimen</w:t>
      </w:r>
    </w:p>
    <w:p w:rsidR="00EB3260" w:rsidRPr="00EB3260" w:rsidRDefault="00EB3260" w:rsidP="00EB3260">
      <w:pPr>
        <w:rPr>
          <w:sz w:val="22"/>
          <w:szCs w:val="22"/>
        </w:rPr>
      </w:pPr>
    </w:p>
    <w:p w:rsidR="00EB3260" w:rsidRPr="00EB3260" w:rsidRDefault="00EB3260" w:rsidP="00EB3260">
      <w:pPr>
        <w:rPr>
          <w:sz w:val="22"/>
          <w:szCs w:val="22"/>
        </w:rPr>
      </w:pPr>
      <w:r w:rsidRPr="00EB3260">
        <w:rPr>
          <w:sz w:val="22"/>
          <w:szCs w:val="22"/>
        </w:rPr>
        <w:t>Davon unabhängig gilt weiterhin, dass alle Bürger</w:t>
      </w:r>
      <w:r>
        <w:rPr>
          <w:sz w:val="22"/>
          <w:szCs w:val="22"/>
        </w:rPr>
        <w:t>innen und Bürger</w:t>
      </w:r>
      <w:r w:rsidRPr="00EB3260">
        <w:rPr>
          <w:sz w:val="22"/>
          <w:szCs w:val="22"/>
        </w:rPr>
        <w:t>, die innerhalb der letzten 14 Tage in den folgenden Risikogebieten waren, unnötige Kontakte vermeiden und für 14 Tage nach Rückkehr aus diesen Risikogebieten in häuslicher Isolation bleiben soll</w:t>
      </w:r>
      <w:r>
        <w:rPr>
          <w:sz w:val="22"/>
          <w:szCs w:val="22"/>
        </w:rPr>
        <w:t>t</w:t>
      </w:r>
      <w:r w:rsidRPr="00EB3260">
        <w:rPr>
          <w:sz w:val="22"/>
          <w:szCs w:val="22"/>
        </w:rPr>
        <w:t>en.</w:t>
      </w:r>
    </w:p>
    <w:p w:rsidR="00EB3260" w:rsidRPr="00EB3260" w:rsidRDefault="00EB3260" w:rsidP="00EB3260">
      <w:pPr>
        <w:rPr>
          <w:sz w:val="22"/>
          <w:szCs w:val="22"/>
        </w:rPr>
      </w:pPr>
    </w:p>
    <w:p w:rsidR="00EB3260" w:rsidRPr="00EB3260" w:rsidRDefault="00EB3260" w:rsidP="00EB3260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EB3260">
        <w:rPr>
          <w:sz w:val="22"/>
          <w:szCs w:val="22"/>
        </w:rPr>
        <w:t xml:space="preserve">In China: Provinz </w:t>
      </w:r>
      <w:proofErr w:type="spellStart"/>
      <w:r w:rsidRPr="00EB3260">
        <w:rPr>
          <w:sz w:val="22"/>
          <w:szCs w:val="22"/>
        </w:rPr>
        <w:t>Hubei</w:t>
      </w:r>
      <w:proofErr w:type="spellEnd"/>
      <w:r w:rsidRPr="00EB3260">
        <w:rPr>
          <w:sz w:val="22"/>
          <w:szCs w:val="22"/>
        </w:rPr>
        <w:t xml:space="preserve"> (inkl. Stadt Wuhan) und die Städte Wenzhou, Hangzhou, Ningbo, Taizhou in der Provinz </w:t>
      </w:r>
      <w:proofErr w:type="spellStart"/>
      <w:r w:rsidRPr="00EB3260">
        <w:rPr>
          <w:sz w:val="22"/>
          <w:szCs w:val="22"/>
        </w:rPr>
        <w:t>Zhejiang</w:t>
      </w:r>
      <w:proofErr w:type="spellEnd"/>
    </w:p>
    <w:p w:rsidR="00EB3260" w:rsidRPr="00EB3260" w:rsidRDefault="00EB3260" w:rsidP="00EB3260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EB3260">
        <w:rPr>
          <w:sz w:val="22"/>
          <w:szCs w:val="22"/>
        </w:rPr>
        <w:t xml:space="preserve">Im Iran: Provinz </w:t>
      </w:r>
      <w:proofErr w:type="spellStart"/>
      <w:r w:rsidRPr="00EB3260">
        <w:rPr>
          <w:sz w:val="22"/>
          <w:szCs w:val="22"/>
        </w:rPr>
        <w:t>Ghom</w:t>
      </w:r>
      <w:proofErr w:type="spellEnd"/>
    </w:p>
    <w:p w:rsidR="00EB3260" w:rsidRPr="00EB3260" w:rsidRDefault="00EB3260" w:rsidP="00EB3260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EB3260">
        <w:rPr>
          <w:sz w:val="22"/>
          <w:szCs w:val="22"/>
        </w:rPr>
        <w:t xml:space="preserve">In Italien: Region Lombardei und die Stadt </w:t>
      </w:r>
      <w:proofErr w:type="spellStart"/>
      <w:r w:rsidRPr="00EB3260">
        <w:rPr>
          <w:sz w:val="22"/>
          <w:szCs w:val="22"/>
        </w:rPr>
        <w:t>Vo</w:t>
      </w:r>
      <w:proofErr w:type="spellEnd"/>
      <w:r w:rsidRPr="00EB3260">
        <w:rPr>
          <w:sz w:val="22"/>
          <w:szCs w:val="22"/>
        </w:rPr>
        <w:t xml:space="preserve"> in der Provinz Padua in der Region Venetien.</w:t>
      </w:r>
    </w:p>
    <w:p w:rsidR="00EB3260" w:rsidRPr="00EB3260" w:rsidRDefault="00EB3260" w:rsidP="00EB3260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EB3260">
        <w:rPr>
          <w:sz w:val="22"/>
          <w:szCs w:val="22"/>
        </w:rPr>
        <w:t xml:space="preserve">In Südkorea: Provinz </w:t>
      </w:r>
      <w:proofErr w:type="spellStart"/>
      <w:r w:rsidRPr="00EB3260">
        <w:rPr>
          <w:sz w:val="22"/>
          <w:szCs w:val="22"/>
        </w:rPr>
        <w:t>Gyeongsangbuk</w:t>
      </w:r>
      <w:proofErr w:type="spellEnd"/>
      <w:r w:rsidRPr="00EB3260">
        <w:rPr>
          <w:sz w:val="22"/>
          <w:szCs w:val="22"/>
        </w:rPr>
        <w:t>-do (Nord-</w:t>
      </w:r>
      <w:proofErr w:type="spellStart"/>
      <w:r w:rsidRPr="00EB3260">
        <w:rPr>
          <w:sz w:val="22"/>
          <w:szCs w:val="22"/>
        </w:rPr>
        <w:t>Gyeongsang</w:t>
      </w:r>
      <w:proofErr w:type="spellEnd"/>
      <w:r w:rsidRPr="00EB3260">
        <w:rPr>
          <w:sz w:val="22"/>
          <w:szCs w:val="22"/>
        </w:rPr>
        <w:t>)</w:t>
      </w:r>
    </w:p>
    <w:p w:rsidR="00EB3260" w:rsidRPr="00EB3260" w:rsidRDefault="00EB3260" w:rsidP="00EB3260">
      <w:pPr>
        <w:rPr>
          <w:sz w:val="22"/>
          <w:szCs w:val="22"/>
        </w:rPr>
      </w:pPr>
    </w:p>
    <w:p w:rsidR="00056108" w:rsidRPr="00056108" w:rsidRDefault="00EB3260" w:rsidP="00EB3260">
      <w:pPr>
        <w:rPr>
          <w:sz w:val="22"/>
          <w:szCs w:val="22"/>
        </w:rPr>
      </w:pPr>
      <w:r>
        <w:rPr>
          <w:sz w:val="22"/>
          <w:szCs w:val="22"/>
        </w:rPr>
        <w:t>Bei veränderter Sachlage wird das Landratsamt unverzüglich informieren.</w:t>
      </w:r>
    </w:p>
    <w:p w:rsidR="00056108" w:rsidRPr="00056108" w:rsidRDefault="00056108" w:rsidP="00056108">
      <w:pPr>
        <w:rPr>
          <w:sz w:val="22"/>
          <w:szCs w:val="22"/>
        </w:rPr>
      </w:pPr>
    </w:p>
    <w:p w:rsidR="00056108" w:rsidRPr="00056108" w:rsidRDefault="00056108" w:rsidP="00056108">
      <w:pPr>
        <w:rPr>
          <w:sz w:val="22"/>
          <w:szCs w:val="22"/>
        </w:rPr>
      </w:pPr>
    </w:p>
    <w:p w:rsidR="00056108" w:rsidRPr="00056108" w:rsidRDefault="00056108" w:rsidP="00056108">
      <w:pPr>
        <w:rPr>
          <w:sz w:val="22"/>
          <w:szCs w:val="22"/>
        </w:rPr>
      </w:pPr>
    </w:p>
    <w:p w:rsidR="00056108" w:rsidRPr="00056108" w:rsidRDefault="00056108" w:rsidP="00056108">
      <w:pPr>
        <w:rPr>
          <w:sz w:val="22"/>
          <w:szCs w:val="22"/>
        </w:rPr>
      </w:pPr>
    </w:p>
    <w:p w:rsidR="00056108" w:rsidRDefault="00056108" w:rsidP="00056108">
      <w:pPr>
        <w:rPr>
          <w:sz w:val="22"/>
          <w:szCs w:val="22"/>
        </w:rPr>
      </w:pPr>
    </w:p>
    <w:p w:rsidR="001E22DD" w:rsidRPr="00056108" w:rsidRDefault="001E22DD" w:rsidP="00056108">
      <w:pPr>
        <w:jc w:val="center"/>
        <w:rPr>
          <w:sz w:val="22"/>
          <w:szCs w:val="22"/>
        </w:rPr>
      </w:pPr>
    </w:p>
    <w:sectPr w:rsidR="001E22DD" w:rsidRPr="00056108" w:rsidSect="00877820">
      <w:type w:val="continuous"/>
      <w:pgSz w:w="11906" w:h="16838" w:code="9"/>
      <w:pgMar w:top="1418" w:right="1134" w:bottom="1134" w:left="1361" w:header="709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41F" w:rsidRDefault="00FA041F" w:rsidP="00AA38C9">
      <w:r>
        <w:separator/>
      </w:r>
    </w:p>
  </w:endnote>
  <w:endnote w:type="continuationSeparator" w:id="0">
    <w:p w:rsidR="00FA041F" w:rsidRDefault="00FA041F" w:rsidP="00AA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EE" w:rsidRDefault="00DE36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8C9" w:rsidRDefault="00AA38C9">
    <w:pPr>
      <w:pStyle w:val="Fuzeile"/>
    </w:pPr>
  </w:p>
  <w:p w:rsidR="00AA38C9" w:rsidRDefault="00AA38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050" w:type="dxa"/>
      <w:tblInd w:w="-13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50"/>
    </w:tblGrid>
    <w:tr w:rsidR="004D039B" w:rsidTr="009C18B2">
      <w:trPr>
        <w:trHeight w:val="1134"/>
      </w:trPr>
      <w:tc>
        <w:tcPr>
          <w:tcW w:w="1205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D039B" w:rsidRDefault="00655445" w:rsidP="00726F35">
          <w:pPr>
            <w:pStyle w:val="Fuzeile"/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-113030</wp:posOffset>
                </wp:positionV>
                <wp:extent cx="6527800" cy="34163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uZ_Pressemitteilung_Staeb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780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D65F3" w:rsidRDefault="00CD65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41F" w:rsidRDefault="00FA041F" w:rsidP="00AA38C9">
      <w:r>
        <w:separator/>
      </w:r>
    </w:p>
  </w:footnote>
  <w:footnote w:type="continuationSeparator" w:id="0">
    <w:p w:rsidR="00FA041F" w:rsidRDefault="00FA041F" w:rsidP="00AA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EE" w:rsidRDefault="00DE36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D7" w:rsidRPr="00163F45" w:rsidRDefault="00163F45" w:rsidP="001E22DD">
    <w:pPr>
      <w:jc w:val="right"/>
      <w:rPr>
        <w:sz w:val="22"/>
      </w:rPr>
    </w:pPr>
    <w:r w:rsidRPr="00163F45">
      <w:rPr>
        <w:sz w:val="16"/>
        <w:szCs w:val="15"/>
      </w:rPr>
      <w:t xml:space="preserve">Seite </w:t>
    </w:r>
    <w:r w:rsidRPr="00163F45">
      <w:rPr>
        <w:sz w:val="16"/>
        <w:szCs w:val="15"/>
      </w:rPr>
      <w:fldChar w:fldCharType="begin"/>
    </w:r>
    <w:r w:rsidRPr="00163F45">
      <w:rPr>
        <w:sz w:val="16"/>
        <w:szCs w:val="15"/>
      </w:rPr>
      <w:instrText>PAGE  \* Arabic  \* MERGEFORMAT</w:instrText>
    </w:r>
    <w:r w:rsidRPr="00163F45">
      <w:rPr>
        <w:sz w:val="16"/>
        <w:szCs w:val="15"/>
      </w:rPr>
      <w:fldChar w:fldCharType="separate"/>
    </w:r>
    <w:r w:rsidR="00CD0C08">
      <w:rPr>
        <w:noProof/>
        <w:sz w:val="16"/>
        <w:szCs w:val="15"/>
      </w:rPr>
      <w:t>2</w:t>
    </w:r>
    <w:r w:rsidRPr="00163F45">
      <w:rPr>
        <w:sz w:val="16"/>
        <w:szCs w:val="15"/>
      </w:rPr>
      <w:fldChar w:fldCharType="end"/>
    </w:r>
    <w:r w:rsidRPr="00163F45">
      <w:rPr>
        <w:sz w:val="16"/>
        <w:szCs w:val="15"/>
      </w:rPr>
      <w:t>/</w:t>
    </w:r>
    <w:r w:rsidRPr="00163F45">
      <w:rPr>
        <w:sz w:val="16"/>
        <w:szCs w:val="15"/>
      </w:rPr>
      <w:fldChar w:fldCharType="begin"/>
    </w:r>
    <w:r w:rsidRPr="00163F45">
      <w:rPr>
        <w:sz w:val="16"/>
        <w:szCs w:val="15"/>
      </w:rPr>
      <w:instrText>NUMPAGES  \* Arabic  \* MERGEFORMAT</w:instrText>
    </w:r>
    <w:r w:rsidRPr="00163F45">
      <w:rPr>
        <w:sz w:val="16"/>
        <w:szCs w:val="15"/>
      </w:rPr>
      <w:fldChar w:fldCharType="separate"/>
    </w:r>
    <w:r w:rsidR="00CD0C08">
      <w:rPr>
        <w:noProof/>
        <w:sz w:val="16"/>
        <w:szCs w:val="15"/>
      </w:rPr>
      <w:t>2</w:t>
    </w:r>
    <w:r w:rsidRPr="00163F45">
      <w:rPr>
        <w:sz w:val="16"/>
        <w:szCs w:val="15"/>
      </w:rPr>
      <w:fldChar w:fldCharType="end"/>
    </w:r>
  </w:p>
  <w:p w:rsidR="00533140" w:rsidRPr="00163F45" w:rsidRDefault="00533140" w:rsidP="000E701A">
    <w:pPr>
      <w:rPr>
        <w:sz w:val="22"/>
      </w:rPr>
    </w:pPr>
  </w:p>
  <w:p w:rsidR="00533140" w:rsidRPr="00163F45" w:rsidRDefault="00533140">
    <w:pPr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D9" w:rsidRDefault="00A11A47" w:rsidP="000951AD">
    <w:pPr>
      <w:pStyle w:val="Kopfzeile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D8F66F2" wp14:editId="116D3486">
          <wp:simplePos x="0" y="0"/>
          <wp:positionH relativeFrom="column">
            <wp:posOffset>-862330</wp:posOffset>
          </wp:positionH>
          <wp:positionV relativeFrom="paragraph">
            <wp:posOffset>-430530</wp:posOffset>
          </wp:positionV>
          <wp:extent cx="7573010" cy="2019300"/>
          <wp:effectExtent l="0" t="0" r="0" b="0"/>
          <wp:wrapNone/>
          <wp:docPr id="2" name="Logo_Kopfboge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opfbogen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3010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050"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0" allowOverlap="1" wp14:anchorId="2584ADA8" wp14:editId="6E06C99D">
              <wp:simplePos x="0" y="0"/>
              <wp:positionH relativeFrom="column">
                <wp:posOffset>-720090</wp:posOffset>
              </wp:positionH>
              <wp:positionV relativeFrom="page">
                <wp:posOffset>3780790</wp:posOffset>
              </wp:positionV>
              <wp:extent cx="180000" cy="0"/>
              <wp:effectExtent l="0" t="0" r="10795" b="19050"/>
              <wp:wrapNone/>
              <wp:docPr id="40" name="Gerade Verbindung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BF5732" id="Gerade Verbindung 4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6.7pt,297.7pt" to="-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" o:allowincell="f" strokeweight=".5pt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A0B2E"/>
    <w:multiLevelType w:val="hybridMultilevel"/>
    <w:tmpl w:val="1668034A"/>
    <w:lvl w:ilvl="0" w:tplc="CEECDEB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6D37"/>
    <w:multiLevelType w:val="hybridMultilevel"/>
    <w:tmpl w:val="2D74423E"/>
    <w:lvl w:ilvl="0" w:tplc="CEECDEB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1F"/>
    <w:rsid w:val="00003090"/>
    <w:rsid w:val="00025ED7"/>
    <w:rsid w:val="0004444F"/>
    <w:rsid w:val="00056108"/>
    <w:rsid w:val="000951AD"/>
    <w:rsid w:val="000C40CA"/>
    <w:rsid w:val="000E701A"/>
    <w:rsid w:val="001543B4"/>
    <w:rsid w:val="00154B0C"/>
    <w:rsid w:val="00163F45"/>
    <w:rsid w:val="001655F7"/>
    <w:rsid w:val="00174DAA"/>
    <w:rsid w:val="00183F2E"/>
    <w:rsid w:val="001E22DD"/>
    <w:rsid w:val="001E3EA5"/>
    <w:rsid w:val="001F15B5"/>
    <w:rsid w:val="00227C3D"/>
    <w:rsid w:val="00242F3B"/>
    <w:rsid w:val="00250F08"/>
    <w:rsid w:val="00271870"/>
    <w:rsid w:val="00290C23"/>
    <w:rsid w:val="002C0DD1"/>
    <w:rsid w:val="002C1529"/>
    <w:rsid w:val="002C44AC"/>
    <w:rsid w:val="002F0050"/>
    <w:rsid w:val="002F1935"/>
    <w:rsid w:val="0037636A"/>
    <w:rsid w:val="003831C4"/>
    <w:rsid w:val="00394188"/>
    <w:rsid w:val="003B0AE6"/>
    <w:rsid w:val="003C5818"/>
    <w:rsid w:val="003E4336"/>
    <w:rsid w:val="00417ABF"/>
    <w:rsid w:val="00433EC6"/>
    <w:rsid w:val="004B1CD2"/>
    <w:rsid w:val="004B4130"/>
    <w:rsid w:val="004D039B"/>
    <w:rsid w:val="004E0E03"/>
    <w:rsid w:val="004E741C"/>
    <w:rsid w:val="005063A2"/>
    <w:rsid w:val="00533140"/>
    <w:rsid w:val="00534842"/>
    <w:rsid w:val="00546DC3"/>
    <w:rsid w:val="0058247C"/>
    <w:rsid w:val="00582B1C"/>
    <w:rsid w:val="0059690D"/>
    <w:rsid w:val="005A42BA"/>
    <w:rsid w:val="005A6E4B"/>
    <w:rsid w:val="005E459C"/>
    <w:rsid w:val="005F1B60"/>
    <w:rsid w:val="005F4C92"/>
    <w:rsid w:val="005F5529"/>
    <w:rsid w:val="00641EC9"/>
    <w:rsid w:val="00655445"/>
    <w:rsid w:val="00656082"/>
    <w:rsid w:val="006625A2"/>
    <w:rsid w:val="0066434C"/>
    <w:rsid w:val="00672E7F"/>
    <w:rsid w:val="006924A2"/>
    <w:rsid w:val="006B5411"/>
    <w:rsid w:val="006E2EFC"/>
    <w:rsid w:val="007020D1"/>
    <w:rsid w:val="00726F35"/>
    <w:rsid w:val="00742FD5"/>
    <w:rsid w:val="0076535E"/>
    <w:rsid w:val="00773AF2"/>
    <w:rsid w:val="0078794B"/>
    <w:rsid w:val="007978C6"/>
    <w:rsid w:val="007A0C9D"/>
    <w:rsid w:val="007B7350"/>
    <w:rsid w:val="007B7C4E"/>
    <w:rsid w:val="007C7287"/>
    <w:rsid w:val="007E52DB"/>
    <w:rsid w:val="0080061F"/>
    <w:rsid w:val="00877820"/>
    <w:rsid w:val="00897E4C"/>
    <w:rsid w:val="0093464E"/>
    <w:rsid w:val="009445CE"/>
    <w:rsid w:val="00954A66"/>
    <w:rsid w:val="009C122D"/>
    <w:rsid w:val="009C18B2"/>
    <w:rsid w:val="009C3D96"/>
    <w:rsid w:val="00A01118"/>
    <w:rsid w:val="00A11A47"/>
    <w:rsid w:val="00A20E00"/>
    <w:rsid w:val="00A74402"/>
    <w:rsid w:val="00A77561"/>
    <w:rsid w:val="00A9430B"/>
    <w:rsid w:val="00AA38C9"/>
    <w:rsid w:val="00B30D7F"/>
    <w:rsid w:val="00B47BC5"/>
    <w:rsid w:val="00B6454B"/>
    <w:rsid w:val="00B71492"/>
    <w:rsid w:val="00BA1E5C"/>
    <w:rsid w:val="00BD04E5"/>
    <w:rsid w:val="00BE376B"/>
    <w:rsid w:val="00BF2B9E"/>
    <w:rsid w:val="00C300DA"/>
    <w:rsid w:val="00C86BD9"/>
    <w:rsid w:val="00CD0C08"/>
    <w:rsid w:val="00CD65F3"/>
    <w:rsid w:val="00CD796D"/>
    <w:rsid w:val="00D25B25"/>
    <w:rsid w:val="00D27D21"/>
    <w:rsid w:val="00D3384A"/>
    <w:rsid w:val="00D50945"/>
    <w:rsid w:val="00D50A08"/>
    <w:rsid w:val="00D7098F"/>
    <w:rsid w:val="00D7295D"/>
    <w:rsid w:val="00DA6D6C"/>
    <w:rsid w:val="00DC650C"/>
    <w:rsid w:val="00DC732A"/>
    <w:rsid w:val="00DD5A83"/>
    <w:rsid w:val="00DE36EE"/>
    <w:rsid w:val="00E00DEA"/>
    <w:rsid w:val="00E117D3"/>
    <w:rsid w:val="00E374E9"/>
    <w:rsid w:val="00E414A5"/>
    <w:rsid w:val="00E52168"/>
    <w:rsid w:val="00E60F67"/>
    <w:rsid w:val="00E62C72"/>
    <w:rsid w:val="00E86E7F"/>
    <w:rsid w:val="00EA0394"/>
    <w:rsid w:val="00EB3260"/>
    <w:rsid w:val="00EE4EB9"/>
    <w:rsid w:val="00EE774A"/>
    <w:rsid w:val="00F242A4"/>
    <w:rsid w:val="00F30749"/>
    <w:rsid w:val="00F44B55"/>
    <w:rsid w:val="00F5399C"/>
    <w:rsid w:val="00F70194"/>
    <w:rsid w:val="00FA041F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C1B14B"/>
  <w15:docId w15:val="{EF004609-7190-4EF0-8DBD-AA8DDA51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 Bk BT" w:eastAsia="Times New Roman" w:hAnsi="Futura Bk B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C73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73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A38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8C9"/>
  </w:style>
  <w:style w:type="paragraph" w:styleId="Fuzeile">
    <w:name w:val="footer"/>
    <w:basedOn w:val="Standard"/>
    <w:link w:val="FuzeileZchn"/>
    <w:uiPriority w:val="99"/>
    <w:rsid w:val="00AA38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8C9"/>
  </w:style>
  <w:style w:type="table" w:styleId="Tabellenraster">
    <w:name w:val="Table Grid"/>
    <w:basedOn w:val="NormaleTabelle"/>
    <w:rsid w:val="0053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A77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1EC9"/>
    <w:rPr>
      <w:color w:val="808080"/>
    </w:rPr>
  </w:style>
  <w:style w:type="paragraph" w:styleId="Listenabsatz">
    <w:name w:val="List Paragraph"/>
    <w:basedOn w:val="Standard"/>
    <w:uiPriority w:val="34"/>
    <w:qFormat/>
    <w:rsid w:val="00EB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1C69-5229-40BA-B710-840999A6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108D1CC8.dotm</Template>
  <TotalTime>0</TotalTime>
  <Pages>1</Pages>
  <Words>189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Ostalbkreis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Staeb Theresa</dc:creator>
  <cp:lastModifiedBy>Esswein, Stephanie</cp:lastModifiedBy>
  <cp:revision>2</cp:revision>
  <cp:lastPrinted>2018-07-25T07:47:00Z</cp:lastPrinted>
  <dcterms:created xsi:type="dcterms:W3CDTF">2020-03-01T13:26:00Z</dcterms:created>
  <dcterms:modified xsi:type="dcterms:W3CDTF">2020-03-01T13:26:00Z</dcterms:modified>
</cp:coreProperties>
</file>